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notes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00" w:after="24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Moció conjunta que els grups (municipals, de la diputació, del consell comarcal) presenten en suport al dret a morir  dignament.</w:t>
      </w:r>
    </w:p>
    <w:p>
      <w:pPr>
        <w:pStyle w:val="Normal"/>
        <w:spacing w:before="180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Els grups (municipals, de la Diputació, del Consell Comarcal) de l’(administració local) presentem la següent proposta de moció</w:t>
      </w:r>
    </w:p>
    <w:p>
      <w:pPr>
        <w:pStyle w:val="Normal"/>
        <w:spacing w:before="236" w:after="24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Exposició de motius</w:t>
      </w:r>
    </w:p>
    <w:p>
      <w:pPr>
        <w:pStyle w:val="Normal"/>
        <w:spacing w:before="66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1͘. La declaració universal dels Drets Humans (1948) assenyala en el seu article primer que “tots els éssers humans neixen lliures i iguals en dignitat i en drets”͘. Així mateix, la Constitució espanyola (1978) en el seu article 10 declara el dret a “la dignitat de la persona i el lliure  desenvolupament de la seva personalitat”͘ i l’Estatut d’Autonomia de Catalunya de 2006 declara en el seu article 20 el dret a viure amb dignitat el procés de la mort.</w:t>
      </w:r>
    </w:p>
    <w:p>
      <w:pPr>
        <w:pStyle w:val="Normal"/>
        <w:spacing w:before="0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2. Catalunya ha desenvolupat una legislació pròpia sobre el dret a viure amb dignitat el procés de la mort, concretada en la Llei 21/2000, de 29 de desembre, sobre els drets d’informació concernents a la salut i l’autonomia del pacient i la documentació clínica corresponent, així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com en el Decret 175/2002, de 25 de juny, pel qual es regula el Registre de voluntats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anticipades i en la Llei 2/2024, de 6 de febrer, que modifica l’article 8.2  de la Llei 21/2000.</w:t>
      </w:r>
    </w:p>
    <w:p>
      <w:pPr>
        <w:pStyle w:val="Normal"/>
        <w:spacing w:before="18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3. La concreció d’aquestes disposicions legals queda també reflectida en la pionera Carta de drets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 xml:space="preserve">i deures de la ciutadania en relació amb la salut i l’atenció sanitària (2001), revisada i aprovada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 xml:space="preserve">pel  Departament de Salut el juny de 2015, que en el capítol d’autonomia i presa de decisions,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apartat  5.1.8., indica entre d’altres que: «la persona té dret a viure el procés que esdevingui fins al final de la vida segons la seva concepció de dignitat»</w:t>
      </w:r>
    </w:p>
    <w:p>
      <w:pPr>
        <w:pStyle w:val="Normal"/>
        <w:spacing w:before="18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4. Així mateix, la Llei orgànica 3/2021, de 24 de març, de regulació de l’eutanàsia, avalada pel Tribunal Constitucional, ha reconegut el dret a rebre l’ajut per morir indicant les condicions i el procediment per exercir-lo i emmarcant aquest dret en el de viure amb dignitat el procés de la mort i la llibertat individual que garanteix el dret a la vida privada (art. 8 CEDH).</w:t>
      </w:r>
    </w:p>
    <w:p>
      <w:pPr>
        <w:pStyle w:val="Normal"/>
        <w:spacing w:before="47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5. Malgrat que aquestes normatives han suposat una millora continuada al llarg dels darrers anys, juntament amb el desenvolupament dels programes de cures pal·liatives, l’experiència de l’Associació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Dret a Morir Dignament de Catalunya (DMD-cat), obtinguda de l’atenció personalitzada a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lang w:val="ca-ES" w:eastAsia="ca-ES" w:bidi="ar-SA"/>
        </w:rPr>
        <w:t>milers de persones</w:t>
      </w:r>
      <w:r>
        <w:rPr>
          <w:rFonts w:eastAsia="Times New Roman" w:cs="Times New Roman" w:ascii="Times New Roman" w:hAnsi="Times New Roman"/>
          <w:color w:val="000000"/>
        </w:rPr>
        <w:t xml:space="preserve"> al llarg dels darrers anys, permet afirmar que massa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lang w:val="ca-ES" w:eastAsia="ca-ES" w:bidi="ar-SA"/>
        </w:rPr>
        <w:t>gent</w:t>
      </w:r>
      <w:r>
        <w:rPr>
          <w:rFonts w:eastAsia="Times New Roman" w:cs="Times New Roman" w:ascii="Times New Roman" w:hAnsi="Times New Roman"/>
          <w:color w:val="000000"/>
        </w:rPr>
        <w:t xml:space="preserve"> continua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patint un sofriment innecessari al final de la seva vida per motius entre els quals cal destacar el desconeixement per part dels ciutadans i del seu entorn dels seus drets o de com exercir-los, tant pel que fa a la Llei d’eutanàsia com a l’elaboració prèvia del Document de Voluntats Anticipades (DVA) que a Catalunya té menys d’un 2% de la població</w:t>
      </w:r>
    </w:p>
    <w:p>
      <w:pPr>
        <w:pStyle w:val="Normal"/>
        <w:spacing w:before="66" w:after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6. Els ajuntaments, com a institució més propera a la ciutadania, amb la convicció que el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dret a una mort digna és un dels drets humans i hem de vetllar per la seva defensa, creiem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necessari divulgar aquest dret entre la població, així com el benefici que cada ciutadà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disposi del seu DVA i que el personal municipal, en general, i el de treball i educació social i 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les Oficines d’Atenció  Ciutadana (OAC) en  particular,  n’estigui  degudament  format  i informat tant sobre aquest document com sobre la llei d’eutanàsia.</w:t>
      </w:r>
    </w:p>
    <w:p>
      <w:pPr>
        <w:pStyle w:val="Normal"/>
        <w:spacing w:before="66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Per  tot  l’anterior,  el  Ple  de ( </w:t>
      </w:r>
      <w:r>
        <w:rPr>
          <w:rFonts w:eastAsia="Times New Roman" w:cs="Times New Roman" w:ascii="Times New Roman" w:hAnsi="Times New Roman"/>
        </w:rPr>
        <w:t>l'Administració</w:t>
      </w:r>
      <w:r>
        <w:rPr>
          <w:rFonts w:eastAsia="Times New Roman" w:cs="Times New Roman" w:ascii="Times New Roman" w:hAnsi="Times New Roman"/>
          <w:color w:val="000000"/>
        </w:rPr>
        <w:t xml:space="preserve"> local)  aprova  la  següent moció/declaració</w:t>
      </w:r>
    </w:p>
    <w:p>
      <w:pPr>
        <w:pStyle w:val="Normal"/>
        <w:spacing w:before="115" w:after="24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Acords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vertAlign w:val="superscript"/>
        </w:rPr>
        <w:t xml:space="preserve"> </w:t>
      </w:r>
      <w:r>
        <w:rPr>
          <w:rStyle w:val="FootnoteReference"/>
          <w:rFonts w:eastAsia="Times New Roman" w:cs="Times New Roman" w:ascii="Times New Roman" w:hAnsi="Times New Roman"/>
          <w:color w:val="000000"/>
          <w:sz w:val="23"/>
          <w:szCs w:val="23"/>
          <w:vertAlign w:val="superscript"/>
        </w:rPr>
        <w:footnoteReference w:id="2"/>
      </w:r>
    </w:p>
    <w:p>
      <w:pPr>
        <w:pStyle w:val="Normal"/>
        <w:spacing w:before="200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Primer.-  Afirmar que la llibertat de la persona no s’ha de perdre en cap moment de la vida, ni tampoc en el procés final que ens porta a la mort.</w:t>
      </w:r>
    </w:p>
    <w:p>
      <w:pPr>
        <w:pStyle w:val="Normal"/>
        <w:spacing w:before="180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Segon.- Donar suport i divulgar el dret de les persones a ser assistides al final de la vida segons els desigs expressats en la seva Declaració de Voluntats Anticipades (DVA).</w:t>
      </w:r>
    </w:p>
    <w:p>
      <w:pPr>
        <w:pStyle w:val="Normal"/>
        <w:spacing w:before="263" w:after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Tercer.- Donar suport i divulgar els continguts i procediments de la Llei 3/2021, de 24 de març, de regulació de l’eutanàsia.  </w:t>
      </w:r>
    </w:p>
    <w:p>
      <w:pPr>
        <w:pStyle w:val="Normal"/>
        <w:spacing w:before="29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Quart.- Dotar d’informació i formació específica als treballadors i treballadores municipals, en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particular als dels serveis socials, centres culturals, Oficines d’Atenció Ciutadana (OAC), centres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municipals de salut, policia municipal, residències, centres de dia, assistència a domicili, etc, sobre els drets de la ciutadania al final de la vida i el DVA.</w:t>
      </w:r>
    </w:p>
    <w:p>
      <w:pPr>
        <w:pStyle w:val="Normal"/>
        <w:spacing w:before="190" w:after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Cinquè.- Incloure l’Associació DMD Catalunya (DMD-Cat) en consells sectorials o d’altres òrgans de col·laboració ajuntament-entitats que corresponguin i donar-los suport per treballar amb els centres educatius i sanitaris per potenciar activitats de reflexió entorn al dret a una mort digna.</w:t>
      </w:r>
    </w:p>
    <w:p>
      <w:pPr>
        <w:pStyle w:val="Normal"/>
        <w:spacing w:before="18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Sisè.- Establir amb l’Associació DMD-Cat un acord de col·laboració per al desenvolupament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 xml:space="preserve">dels punts anteriors que asseguri la divulgació entre la població i la formació necessària entre </w:t>
      </w: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el personal municipal. Es donarà visibilitat i suport als actes que porti a terme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DMD-Cat al nostre municipi i es destinarà un espai a l’OAC i a altres punts d’informació municipal per a la divulgació de material de DMD-Cat o que pugui elaborar el propi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ajuntament.</w:t>
      </w:r>
    </w:p>
    <w:p>
      <w:pPr>
        <w:pStyle w:val="Normal"/>
        <w:spacing w:before="18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Setè. - </w:t>
      </w:r>
      <w:r>
        <w:rPr>
          <w:rFonts w:eastAsia="Times New Roman" w:cs="Times New Roman" w:ascii="Times New Roman" w:hAnsi="Times New Roman"/>
          <w:color w:val="000000"/>
        </w:rPr>
        <w:t xml:space="preserve">Incloure el dret a morir dignament a la carta de drets i deures de la ciutadania del municipi o en futurs plans d'acció de salvaguarda dels drets humans </w:t>
      </w:r>
    </w:p>
    <w:p>
      <w:pPr>
        <w:pStyle w:val="Normal"/>
        <w:spacing w:before="192" w:after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Vuitè.- Facilitar la utilització gratuïta d'espais municipals per a la realització d’activitats presencials vinculades a l’entitat </w:t>
      </w:r>
    </w:p>
    <w:p>
      <w:pPr>
        <w:pStyle w:val="Normal"/>
        <w:spacing w:before="0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Novè.- Publicar aquesta moció a (web de l’ajuntament, butlletí, TV-ràdio municipal...). L’Ajuntament editarà material propi amb l’assessorament de DMD-Cat.</w:t>
      </w:r>
    </w:p>
    <w:p>
      <w:pPr>
        <w:pStyle w:val="Normal"/>
        <w:spacing w:before="0" w:after="24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Desè.- </w:t>
      </w:r>
      <w:r>
        <w:rPr>
          <w:rFonts w:eastAsia="Times New Roman" w:cs="Times New Roman" w:ascii="Times New Roman" w:hAnsi="Times New Roman"/>
          <w:color w:val="000000"/>
        </w:rPr>
        <w:t>Donar trasllat d’aquest acord a l’Associació pel Dret a Morir Dignament, a l’ACM, 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la FMC, al Parlament, al Govern i als mitjans de comunicació locals.</w:t>
      </w:r>
    </w:p>
    <w:p>
      <w:pPr>
        <w:pStyle w:val="Normal"/>
        <w:spacing w:before="0" w:after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230" w:after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________________, a __________________ de 20__</w:t>
      </w:r>
    </w:p>
    <w:p>
      <w:pPr>
        <w:pStyle w:val="Normal"/>
        <w:spacing w:before="0" w:after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4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 wp14:anchorId="2A3269BE">
                <wp:simplePos x="0" y="0"/>
                <wp:positionH relativeFrom="page">
                  <wp:posOffset>1076325</wp:posOffset>
                </wp:positionH>
                <wp:positionV relativeFrom="page">
                  <wp:posOffset>9225280</wp:posOffset>
                </wp:positionV>
                <wp:extent cx="93980" cy="24130"/>
                <wp:effectExtent l="0" t="0" r="0" b="0"/>
                <wp:wrapNone/>
                <wp:docPr id="1" name="Forma lliure: 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60" cy="24120"/>
                        </a:xfrm>
                        <a:custGeom>
                          <a:avLst/>
                          <a:gdLst>
                            <a:gd name="textAreaLeft" fmla="*/ 0 w 53280"/>
                            <a:gd name="textAreaRight" fmla="*/ 53640 w 53280"/>
                            <a:gd name="textAreaTop" fmla="*/ 0 h 13680"/>
                            <a:gd name="textAreaBottom" fmla="*/ 14040 h 13680"/>
                          </a:gdLst>
                          <a:ahLst/>
                          <a:rect l="textAreaLeft" t="textAreaTop" r="textAreaRight" b="textAreaBottom"/>
                          <a:pathLst>
                            <a:path w="5080" h="37">
                              <a:moveTo>
                                <a:pt x="0" y="37"/>
                              </a:moveTo>
                              <a:lnTo>
                                <a:pt x="0" y="0"/>
                              </a:lnTo>
                              <a:lnTo>
                                <a:pt x="5080" y="0"/>
                              </a:lnTo>
                              <a:lnTo>
                                <a:pt x="5080" y="37"/>
                              </a:lnTo>
                              <a:lnTo>
                                <a:pt x="5080" y="37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2127" w:right="1274" w:gutter="0" w:header="1361" w:top="1418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center" w:pos="4819" w:leader="none"/>
        <w:tab w:val="left" w:pos="5103" w:leader="none"/>
        <w:tab w:val="right" w:pos="8504" w:leader="none"/>
        <w:tab w:val="right" w:pos="9638" w:leader="none"/>
      </w:tabs>
      <w:spacing w:before="0" w:after="20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center" w:pos="4819" w:leader="none"/>
        <w:tab w:val="left" w:pos="5103" w:leader="none"/>
        <w:tab w:val="right" w:pos="8504" w:leader="none"/>
        <w:tab w:val="right" w:pos="9638" w:leader="none"/>
      </w:tabs>
      <w:spacing w:before="0" w:after="200"/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lineRule="auto" w:line="228" w:before="155" w:after="240"/>
        <w:jc w:val="both"/>
        <w:rPr/>
      </w:pPr>
      <w:r>
        <w:rPr>
          <w:rStyle w:val="Carctersdenotaalpeu"/>
        </w:rPr>
        <w:footnoteRef/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Els acords relacionats són un compendi dels que diferents administracions locals han inclòs en les seves mocions/declaracions com es pot veure </w:t>
      </w:r>
      <w:hyperlink r:id="rId1">
        <w:r>
          <w:rPr>
            <w:rStyle w:val="Hyperlink"/>
            <w:rFonts w:eastAsia="Times New Roman" w:cs="Times New Roman" w:ascii="Times New Roman" w:hAnsi="Times New Roman"/>
            <w:color w:val="0000FF"/>
            <w:u w:val="single"/>
          </w:rPr>
          <w:t>en aquest enllaç</w:t>
        </w:r>
      </w:hyperlink>
      <w:r>
        <w:rPr>
          <w:rFonts w:eastAsia="Times New Roman" w:cs="Times New Roman" w:ascii="Times New Roman" w:hAnsi="Times New Roman"/>
          <w:color w:val="000000"/>
        </w:rPr>
        <w:t>. Cada administració pot triar o afegir aquells que consideri que s’adapten millor a les seves circumstàncies.</w:t>
      </w:r>
    </w:p>
    <w:p>
      <w:pPr>
        <w:pStyle w:val="Normal"/>
        <w:spacing w:lineRule="auto" w:line="240" w:before="0" w:after="0"/>
        <w:rPr>
          <w:color w:val="000000"/>
          <w:sz w:val="20"/>
          <w:szCs w:val="20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19" w:before="96" w:after="240"/>
      <w:jc w:val="right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5610225</wp:posOffset>
          </wp:positionH>
          <wp:positionV relativeFrom="page">
            <wp:posOffset>209550</wp:posOffset>
          </wp:positionV>
          <wp:extent cx="1123950" cy="666750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color w:val="000000"/>
      </w:rPr>
      <w:t>Proposta tipus de declaració/moció conjunta</w:t>
    </w:r>
  </w:p>
  <w:p>
    <w:pPr>
      <w:pStyle w:val="Normal"/>
      <w:pBdr>
        <w:bottom w:val="single" w:sz="4" w:space="1" w:color="000000"/>
      </w:pBdr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before="0" w:after="20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19" w:before="96" w:after="240"/>
      <w:jc w:val="right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5610225</wp:posOffset>
          </wp:positionH>
          <wp:positionV relativeFrom="page">
            <wp:posOffset>209550</wp:posOffset>
          </wp:positionV>
          <wp:extent cx="1123950" cy="666750"/>
          <wp:effectExtent l="0" t="0" r="0" b="0"/>
          <wp:wrapNone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color w:val="000000"/>
      </w:rPr>
      <w:t>Proposta tipus de declaració/moció conjunta</w:t>
    </w:r>
  </w:p>
  <w:p>
    <w:pPr>
      <w:pStyle w:val="Normal"/>
      <w:pBdr>
        <w:bottom w:val="single" w:sz="4" w:space="1" w:color="000000"/>
      </w:pBdr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before="0" w:after="20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a-ES" w:eastAsia="ca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a-ES" w:eastAsia="ca-E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Carctersdenotaalpeu">
    <w:name w:val="Caràcters de nota al peu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ctersdenotafinal">
    <w:name w:val="Caràcters de nota final"/>
    <w:qFormat/>
    <w:rPr/>
  </w:style>
  <w:style w:type="paragraph" w:styleId="Encapalament">
    <w:name w:val="Encapçalamen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ucida Sans"/>
    </w:rPr>
  </w:style>
  <w:style w:type="paragraph" w:styleId="Encapalamentuser">
    <w:name w:val="Encapçalamen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exuser">
    <w:name w:val="Índex (user)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pPr/>
    <w:rPr/>
  </w:style>
  <w:style w:type="paragraph" w:styleId="Capaleraipeu">
    <w:name w:val="Capçalera i peu"/>
    <w:basedOn w:val="Normal"/>
    <w:qFormat/>
    <w:pPr/>
    <w:rPr/>
  </w:style>
  <w:style w:type="paragraph" w:styleId="Capaleraipeudepgina">
    <w:name w:val="Capçalera i peu de pàgina"/>
    <w:basedOn w:val="Normal"/>
    <w:qFormat/>
    <w:pPr/>
    <w:rPr/>
  </w:style>
  <w:style w:type="paragraph" w:styleId="Header">
    <w:name w:val="header"/>
    <w:basedOn w:val="Capaleraipeu"/>
    <w:pPr/>
    <w:rPr/>
  </w:style>
  <w:style w:type="paragraph" w:styleId="Footer">
    <w:name w:val="footer"/>
    <w:basedOn w:val="Capaleraipeu"/>
    <w:pPr/>
    <w:rPr/>
  </w:style>
  <w:style w:type="numbering" w:styleId="Capllista" w:default="1">
    <w:name w:val="Cap llista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dmd.cat/index.php/ca/home-ca-es/que-fem/municipalisme/municipalisme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LibreOffice/24.8.6.2$Windows_X86_64 LibreOffice_project/6d98ba145e9a8a39fc57bcc76981d1fb1316c60c</Application>
  <AppVersion>15.0000</AppVersion>
  <Pages>3</Pages>
  <Words>953</Words>
  <Characters>4934</Characters>
  <CharactersWithSpaces>5899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2023-10-03T11:33:00Z</dcterms:created>
  <dc:creator>DMD Administracio</dc:creator>
  <dc:description/>
  <dc:language>ca-ES</dc:language>
  <cp:lastModifiedBy/>
  <cp:lastPrinted>2025-05-25T19:45:15Z</cp:lastPrinted>
  <dcterms:modified xsi:type="dcterms:W3CDTF">2025-05-25T19:44:27Z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